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3FF8C" w14:textId="77777777" w:rsidR="001B2AB7" w:rsidRDefault="005D0805">
      <w:pPr>
        <w:rPr>
          <w:b/>
          <w:bCs/>
          <w:sz w:val="28"/>
          <w:szCs w:val="28"/>
        </w:rPr>
      </w:pPr>
      <w:r>
        <w:rPr>
          <w:b/>
          <w:bCs/>
          <w:sz w:val="28"/>
          <w:szCs w:val="28"/>
        </w:rPr>
        <w:t>Radnorshire Wildlife Trust</w:t>
      </w:r>
    </w:p>
    <w:p w14:paraId="4C93FF8D" w14:textId="77777777" w:rsidR="001B2AB7" w:rsidRDefault="005D0805">
      <w:r>
        <w:rPr>
          <w:b/>
          <w:bCs/>
          <w:sz w:val="28"/>
          <w:szCs w:val="28"/>
        </w:rPr>
        <w:t>AGM 22</w:t>
      </w:r>
      <w:r>
        <w:rPr>
          <w:b/>
          <w:bCs/>
          <w:sz w:val="28"/>
          <w:szCs w:val="28"/>
          <w:vertAlign w:val="superscript"/>
        </w:rPr>
        <w:t>nd</w:t>
      </w:r>
      <w:r>
        <w:rPr>
          <w:b/>
          <w:bCs/>
          <w:sz w:val="28"/>
          <w:szCs w:val="28"/>
        </w:rPr>
        <w:t xml:space="preserve"> October 2026</w:t>
      </w:r>
    </w:p>
    <w:p w14:paraId="4C93FF8E" w14:textId="77777777" w:rsidR="001B2AB7" w:rsidRDefault="005D0805">
      <w:pPr>
        <w:rPr>
          <w:b/>
          <w:bCs/>
          <w:sz w:val="28"/>
          <w:szCs w:val="28"/>
        </w:rPr>
      </w:pPr>
      <w:r>
        <w:rPr>
          <w:b/>
          <w:bCs/>
          <w:sz w:val="28"/>
          <w:szCs w:val="28"/>
        </w:rPr>
        <w:t>Item 9: Resolutions re the update to the Articles of Association</w:t>
      </w:r>
    </w:p>
    <w:p w14:paraId="4C93FF8F" w14:textId="77777777" w:rsidR="001B2AB7" w:rsidRDefault="001B2AB7"/>
    <w:p w14:paraId="4C93FF90" w14:textId="77777777" w:rsidR="001B2AB7" w:rsidRDefault="005D0805">
      <w:pPr>
        <w:rPr>
          <w:i/>
          <w:iCs/>
          <w:sz w:val="24"/>
          <w:szCs w:val="24"/>
        </w:rPr>
      </w:pPr>
      <w:r>
        <w:rPr>
          <w:i/>
          <w:iCs/>
          <w:sz w:val="24"/>
          <w:szCs w:val="24"/>
        </w:rPr>
        <w:t>Please read the information sheet attached which explains the background to these resolutions.</w:t>
      </w:r>
    </w:p>
    <w:p w14:paraId="4C93FF91" w14:textId="77777777" w:rsidR="001B2AB7" w:rsidRDefault="005D0805">
      <w:r>
        <w:rPr>
          <w:b/>
          <w:bCs/>
          <w:sz w:val="28"/>
          <w:szCs w:val="28"/>
          <w:u w:val="single"/>
        </w:rPr>
        <w:t>Resolution A</w:t>
      </w:r>
      <w:r>
        <w:rPr>
          <w:b/>
          <w:bCs/>
          <w:sz w:val="28"/>
          <w:szCs w:val="28"/>
        </w:rPr>
        <w:t xml:space="preserve">: </w:t>
      </w:r>
      <w:proofErr w:type="gramStart"/>
      <w:r>
        <w:rPr>
          <w:b/>
          <w:bCs/>
          <w:sz w:val="28"/>
          <w:szCs w:val="28"/>
        </w:rPr>
        <w:t xml:space="preserve">Objects  </w:t>
      </w:r>
      <w:r>
        <w:rPr>
          <w:b/>
          <w:bCs/>
        </w:rPr>
        <w:t>(</w:t>
      </w:r>
      <w:proofErr w:type="gramEnd"/>
      <w:r>
        <w:rPr>
          <w:b/>
          <w:bCs/>
        </w:rPr>
        <w:t>otherwise known as the Purposes</w:t>
      </w:r>
      <w:r>
        <w:rPr>
          <w:b/>
          <w:bCs/>
          <w:sz w:val="28"/>
          <w:szCs w:val="28"/>
        </w:rPr>
        <w:t>) of the charity</w:t>
      </w:r>
    </w:p>
    <w:p w14:paraId="4C93FF92" w14:textId="77777777" w:rsidR="001B2AB7" w:rsidRDefault="005D0805">
      <w:r>
        <w:rPr>
          <w:b/>
          <w:bCs/>
          <w:sz w:val="28"/>
          <w:szCs w:val="28"/>
        </w:rPr>
        <w:t>To replace the current Purposes clause with</w:t>
      </w:r>
      <w:r>
        <w:t>:</w:t>
      </w:r>
    </w:p>
    <w:p w14:paraId="4C93FF93" w14:textId="77777777" w:rsidR="001B2AB7" w:rsidRDefault="005D0805">
      <w:r>
        <w:rPr>
          <w:rFonts w:ascii="Arial" w:hAnsi="Arial" w:cs="Arial"/>
          <w:b/>
          <w:bCs/>
          <w:color w:val="222222"/>
          <w:sz w:val="27"/>
          <w:szCs w:val="27"/>
          <w:shd w:val="clear" w:color="auto" w:fill="FFFFFF"/>
        </w:rPr>
        <w:t>OBJECTS</w:t>
      </w:r>
      <w:r>
        <w:rPr>
          <w:rFonts w:ascii="Arial" w:hAnsi="Arial" w:cs="Arial"/>
          <w:color w:val="222222"/>
          <w:sz w:val="27"/>
          <w:szCs w:val="27"/>
        </w:rPr>
        <w:br/>
      </w:r>
      <w:r>
        <w:rPr>
          <w:rFonts w:ascii="Arial" w:hAnsi="Arial" w:cs="Arial"/>
          <w:color w:val="222222"/>
          <w:sz w:val="24"/>
          <w:szCs w:val="24"/>
          <w:shd w:val="clear" w:color="auto" w:fill="FFFFFF"/>
        </w:rPr>
        <w:t>2.The objects for which the Charity is established are, for the benefit of the public:</w:t>
      </w:r>
      <w:r>
        <w:rPr>
          <w:rFonts w:ascii="Arial" w:hAnsi="Arial" w:cs="Arial"/>
          <w:color w:val="222222"/>
          <w:sz w:val="24"/>
          <w:szCs w:val="24"/>
        </w:rPr>
        <w:br/>
      </w:r>
      <w:proofErr w:type="spellStart"/>
      <w:r>
        <w:rPr>
          <w:rFonts w:ascii="Arial" w:hAnsi="Arial" w:cs="Arial"/>
          <w:color w:val="222222"/>
          <w:sz w:val="24"/>
          <w:szCs w:val="24"/>
          <w:shd w:val="clear" w:color="auto" w:fill="FFFFFF"/>
        </w:rPr>
        <w:t>i</w:t>
      </w:r>
      <w:proofErr w:type="spellEnd"/>
      <w:r>
        <w:rPr>
          <w:rFonts w:ascii="Arial" w:hAnsi="Arial" w:cs="Arial"/>
          <w:color w:val="222222"/>
          <w:sz w:val="24"/>
          <w:szCs w:val="24"/>
          <w:shd w:val="clear" w:color="auto" w:fill="FFFFFF"/>
        </w:rPr>
        <w:t xml:space="preserve">) To advance, promote and further the conservation, maintenance, restoration and </w:t>
      </w:r>
      <w:r>
        <w:rPr>
          <w:rFonts w:ascii="Arial" w:hAnsi="Arial" w:cs="Arial"/>
          <w:color w:val="222222"/>
          <w:sz w:val="24"/>
          <w:szCs w:val="24"/>
          <w:shd w:val="clear" w:color="auto" w:fill="FFFFFF"/>
        </w:rPr>
        <w:t>protection of:</w:t>
      </w:r>
      <w:r>
        <w:rPr>
          <w:rFonts w:ascii="Arial" w:hAnsi="Arial" w:cs="Arial"/>
          <w:color w:val="222222"/>
          <w:sz w:val="24"/>
          <w:szCs w:val="24"/>
        </w:rPr>
        <w:br/>
      </w:r>
      <w:r>
        <w:rPr>
          <w:rFonts w:ascii="Arial" w:hAnsi="Arial" w:cs="Arial"/>
          <w:color w:val="222222"/>
          <w:sz w:val="24"/>
          <w:szCs w:val="24"/>
          <w:shd w:val="clear" w:color="auto" w:fill="FFFFFF"/>
        </w:rPr>
        <w:t>a. wildlife and their habitats.</w:t>
      </w:r>
      <w:r>
        <w:rPr>
          <w:rFonts w:ascii="Arial" w:hAnsi="Arial" w:cs="Arial"/>
          <w:color w:val="222222"/>
          <w:sz w:val="24"/>
          <w:szCs w:val="24"/>
        </w:rPr>
        <w:br/>
      </w:r>
      <w:r>
        <w:rPr>
          <w:rFonts w:ascii="Arial" w:hAnsi="Arial" w:cs="Arial"/>
          <w:color w:val="222222"/>
          <w:sz w:val="24"/>
          <w:szCs w:val="24"/>
          <w:shd w:val="clear" w:color="auto" w:fill="FFFFFF"/>
        </w:rPr>
        <w:t>b. places of zoological, botanical, geological, ecological or scientific interest or of</w:t>
      </w:r>
      <w:r>
        <w:rPr>
          <w:rFonts w:ascii="Arial" w:hAnsi="Arial" w:cs="Arial"/>
          <w:color w:val="222222"/>
          <w:sz w:val="24"/>
          <w:szCs w:val="24"/>
        </w:rPr>
        <w:br/>
      </w:r>
      <w:r>
        <w:rPr>
          <w:rFonts w:ascii="Arial" w:hAnsi="Arial" w:cs="Arial"/>
          <w:color w:val="222222"/>
          <w:sz w:val="24"/>
          <w:szCs w:val="24"/>
          <w:shd w:val="clear" w:color="auto" w:fill="FFFFFF"/>
        </w:rPr>
        <w:t>natural beauty or landscape value.</w:t>
      </w:r>
      <w:r>
        <w:rPr>
          <w:rFonts w:ascii="Arial" w:hAnsi="Arial" w:cs="Arial"/>
          <w:color w:val="222222"/>
          <w:sz w:val="24"/>
          <w:szCs w:val="24"/>
        </w:rPr>
        <w:br/>
      </w:r>
      <w:r>
        <w:rPr>
          <w:rFonts w:ascii="Arial" w:hAnsi="Arial" w:cs="Arial"/>
          <w:color w:val="222222"/>
          <w:sz w:val="24"/>
          <w:szCs w:val="24"/>
        </w:rPr>
        <w:br/>
      </w:r>
      <w:r>
        <w:rPr>
          <w:rFonts w:ascii="Arial" w:hAnsi="Arial" w:cs="Arial"/>
          <w:color w:val="222222"/>
          <w:sz w:val="24"/>
          <w:szCs w:val="24"/>
          <w:shd w:val="clear" w:color="auto" w:fill="FFFFFF"/>
        </w:rPr>
        <w:t>ii) To advance the education of the public in relation to all aspects of 1) above.</w:t>
      </w:r>
      <w:r>
        <w:rPr>
          <w:rFonts w:ascii="Arial" w:hAnsi="Arial" w:cs="Arial"/>
          <w:color w:val="222222"/>
          <w:sz w:val="24"/>
          <w:szCs w:val="24"/>
        </w:rPr>
        <w:br/>
      </w:r>
      <w:r>
        <w:rPr>
          <w:rFonts w:ascii="Arial" w:hAnsi="Arial" w:cs="Arial"/>
          <w:color w:val="222222"/>
          <w:sz w:val="24"/>
          <w:szCs w:val="24"/>
          <w:shd w:val="clear" w:color="auto" w:fill="FFFFFF"/>
        </w:rPr>
        <w:t>iii) To promote research and the dissemination of information in relation to all aspects of 1)</w:t>
      </w:r>
      <w:r>
        <w:rPr>
          <w:rFonts w:ascii="Arial" w:hAnsi="Arial" w:cs="Arial"/>
          <w:color w:val="222222"/>
          <w:sz w:val="24"/>
          <w:szCs w:val="24"/>
        </w:rPr>
        <w:br/>
      </w:r>
      <w:r>
        <w:rPr>
          <w:rFonts w:ascii="Arial" w:hAnsi="Arial" w:cs="Arial"/>
          <w:color w:val="222222"/>
          <w:sz w:val="24"/>
          <w:szCs w:val="24"/>
          <w:shd w:val="clear" w:color="auto" w:fill="FFFFFF"/>
        </w:rPr>
        <w:t>above.</w:t>
      </w:r>
      <w:r>
        <w:rPr>
          <w:rFonts w:ascii="Arial" w:hAnsi="Arial" w:cs="Arial"/>
          <w:color w:val="222222"/>
          <w:sz w:val="24"/>
          <w:szCs w:val="24"/>
        </w:rPr>
        <w:br/>
      </w:r>
      <w:r>
        <w:rPr>
          <w:rFonts w:ascii="Arial" w:hAnsi="Arial" w:cs="Arial"/>
          <w:color w:val="222222"/>
          <w:sz w:val="24"/>
          <w:szCs w:val="24"/>
          <w:shd w:val="clear" w:color="auto" w:fill="FFFFFF"/>
        </w:rPr>
        <w:t xml:space="preserve">2.1 To promote, encourage and carry out study and research for the advancement of knowledge in the natural sciences, to make grants or donations for such </w:t>
      </w:r>
      <w:r>
        <w:rPr>
          <w:rFonts w:ascii="Arial" w:hAnsi="Arial" w:cs="Arial"/>
          <w:color w:val="222222"/>
          <w:sz w:val="24"/>
          <w:szCs w:val="24"/>
          <w:shd w:val="clear" w:color="auto" w:fill="FFFFFF"/>
        </w:rPr>
        <w:t>purposes and to encourage and support the recording and publication of the useful results thereof.</w:t>
      </w:r>
      <w:r>
        <w:rPr>
          <w:rFonts w:ascii="Arial" w:hAnsi="Arial" w:cs="Arial"/>
          <w:color w:val="222222"/>
          <w:sz w:val="24"/>
          <w:szCs w:val="24"/>
        </w:rPr>
        <w:br/>
      </w:r>
      <w:r>
        <w:rPr>
          <w:rFonts w:ascii="Arial" w:hAnsi="Arial" w:cs="Arial"/>
          <w:color w:val="222222"/>
          <w:sz w:val="24"/>
          <w:szCs w:val="24"/>
          <w:shd w:val="clear" w:color="auto" w:fill="FFFFFF"/>
        </w:rPr>
        <w:t>2.2 Nothing in the Articles shall authorise an application of the property of the Trust for purposes which are not charitable in accordance with any statutory provision regarding the meaning of the word "charitable" or the words "charitable purposes" in force in any part of the United Kingdom</w:t>
      </w:r>
      <w:r>
        <w:rPr>
          <w:rFonts w:ascii="Arial" w:hAnsi="Arial" w:cs="Arial"/>
          <w:color w:val="222222"/>
          <w:sz w:val="24"/>
          <w:szCs w:val="24"/>
        </w:rPr>
        <w:br/>
      </w:r>
      <w:r>
        <w:rPr>
          <w:rFonts w:ascii="Arial" w:hAnsi="Arial" w:cs="Arial"/>
          <w:color w:val="222222"/>
          <w:sz w:val="24"/>
          <w:szCs w:val="24"/>
          <w:shd w:val="clear" w:color="auto" w:fill="FFFFFF"/>
        </w:rPr>
        <w:t xml:space="preserve">2.3 This Article may be amended by special resolution, but where the amendment would alter the charitable purposes of </w:t>
      </w:r>
      <w:r>
        <w:rPr>
          <w:rFonts w:ascii="Arial" w:hAnsi="Arial" w:cs="Arial"/>
          <w:color w:val="222222"/>
          <w:sz w:val="24"/>
          <w:szCs w:val="24"/>
          <w:shd w:val="clear" w:color="auto" w:fill="FFFFFF"/>
        </w:rPr>
        <w:t>the Trust, only with the prior written consent of the Commission</w:t>
      </w:r>
    </w:p>
    <w:p w14:paraId="4C93FF94" w14:textId="77777777" w:rsidR="001B2AB7" w:rsidRDefault="005D0805">
      <w:r>
        <w:rPr>
          <w:b/>
          <w:bCs/>
          <w:sz w:val="28"/>
          <w:szCs w:val="28"/>
          <w:u w:val="single"/>
        </w:rPr>
        <w:t>Resolution B</w:t>
      </w:r>
      <w:r>
        <w:rPr>
          <w:b/>
          <w:bCs/>
          <w:sz w:val="28"/>
          <w:szCs w:val="28"/>
        </w:rPr>
        <w:t xml:space="preserve">: Trustees’ benefits </w:t>
      </w:r>
    </w:p>
    <w:p w14:paraId="4C93FF95" w14:textId="77777777" w:rsidR="001B2AB7" w:rsidRDefault="005D0805">
      <w:r>
        <w:rPr>
          <w:b/>
          <w:bCs/>
          <w:sz w:val="28"/>
          <w:szCs w:val="28"/>
        </w:rPr>
        <w:t>To replace the current trustees’ benefits clause with</w:t>
      </w:r>
      <w:r>
        <w:t>:</w:t>
      </w:r>
    </w:p>
    <w:p w14:paraId="4C93FF96" w14:textId="77777777" w:rsidR="001B2AB7" w:rsidRDefault="005D0805">
      <w:r>
        <w:rPr>
          <w:rFonts w:ascii="Arial" w:hAnsi="Arial" w:cs="Arial"/>
          <w:color w:val="222222"/>
          <w:sz w:val="24"/>
          <w:szCs w:val="24"/>
          <w:shd w:val="clear" w:color="auto" w:fill="FFFFFF"/>
        </w:rPr>
        <w:t xml:space="preserve">Scope and powers permitting Trustees' or Connected Persons' benefits (a) A Trustee or Connected Person may receive a benefit from the Trust in the capacity of a beneficiary of the Trust </w:t>
      </w:r>
      <w:proofErr w:type="gramStart"/>
      <w:r>
        <w:rPr>
          <w:rFonts w:ascii="Arial" w:hAnsi="Arial" w:cs="Arial"/>
          <w:color w:val="222222"/>
          <w:sz w:val="24"/>
          <w:szCs w:val="24"/>
          <w:shd w:val="clear" w:color="auto" w:fill="FFFFFF"/>
        </w:rPr>
        <w:t>provided that</w:t>
      </w:r>
      <w:proofErr w:type="gramEnd"/>
      <w:r>
        <w:rPr>
          <w:rFonts w:ascii="Arial" w:hAnsi="Arial" w:cs="Arial"/>
          <w:color w:val="222222"/>
          <w:sz w:val="24"/>
          <w:szCs w:val="24"/>
          <w:shd w:val="clear" w:color="auto" w:fill="FFFFFF"/>
        </w:rPr>
        <w:t xml:space="preserve"> it is available generally to the beneficiaries of the Trust. (b) A Trustee or Connected Person may enter into a contract for the supply of good and/or </w:t>
      </w:r>
      <w:r>
        <w:rPr>
          <w:rFonts w:ascii="Arial" w:hAnsi="Arial" w:cs="Arial"/>
          <w:color w:val="222222"/>
          <w:sz w:val="24"/>
          <w:szCs w:val="24"/>
          <w:shd w:val="clear" w:color="auto" w:fill="FFFFFF"/>
        </w:rPr>
        <w:t xml:space="preserve">services to the Trust where that is permitted in accordance with, and subject to the conditions in, sections 185 and 186 of the Charities Act 2011. (c) A Trustee or Connected Person may receive interest on money lent to the Trust at a </w:t>
      </w:r>
      <w:r>
        <w:rPr>
          <w:rFonts w:ascii="Arial" w:hAnsi="Arial" w:cs="Arial"/>
          <w:color w:val="222222"/>
          <w:sz w:val="24"/>
          <w:szCs w:val="24"/>
          <w:shd w:val="clear" w:color="auto" w:fill="FFFFFF"/>
        </w:rPr>
        <w:lastRenderedPageBreak/>
        <w:t xml:space="preserve">reasonable and proper rate which must be not more than the Bank of England bank rate (also known as the base rate). (d) A Trustee or Connected Person may receive rent for premises let by the Trustee or Connected Person to the Trust. The amount of the rent and the other terms </w:t>
      </w:r>
      <w:r>
        <w:rPr>
          <w:rFonts w:ascii="Arial" w:hAnsi="Arial" w:cs="Arial"/>
          <w:color w:val="222222"/>
          <w:sz w:val="24"/>
          <w:szCs w:val="24"/>
          <w:shd w:val="clear" w:color="auto" w:fill="FFFFFF"/>
        </w:rPr>
        <w:t>of the lease must be reasonable and proper. The Trustee concerned must withdraw from any meeting at which such a proposal or the rent or other terms of the lease are under discussion. (e) A Trustee or Connected Person may take part in the normal trading and fundraising activities of the Trust on the same terms as members of the public. 6.3 In Article 6.2 of this Article “Trust" includes any company in which the Trust: (</w:t>
      </w:r>
      <w:proofErr w:type="spellStart"/>
      <w:r>
        <w:rPr>
          <w:rFonts w:ascii="Arial" w:hAnsi="Arial" w:cs="Arial"/>
          <w:color w:val="222222"/>
          <w:sz w:val="24"/>
          <w:szCs w:val="24"/>
          <w:shd w:val="clear" w:color="auto" w:fill="FFFFFF"/>
        </w:rPr>
        <w:t>i</w:t>
      </w:r>
      <w:proofErr w:type="spellEnd"/>
      <w:r>
        <w:rPr>
          <w:rFonts w:ascii="Arial" w:hAnsi="Arial" w:cs="Arial"/>
          <w:color w:val="222222"/>
          <w:sz w:val="24"/>
          <w:szCs w:val="24"/>
          <w:shd w:val="clear" w:color="auto" w:fill="FFFFFF"/>
        </w:rPr>
        <w:t>) holds more than 50% of the shares; or (ii) controls more than 50% of the voting rights</w:t>
      </w:r>
      <w:r>
        <w:rPr>
          <w:rFonts w:ascii="Arial" w:hAnsi="Arial" w:cs="Arial"/>
          <w:color w:val="222222"/>
          <w:sz w:val="24"/>
          <w:szCs w:val="24"/>
          <w:shd w:val="clear" w:color="auto" w:fill="FFFFFF"/>
        </w:rPr>
        <w:t xml:space="preserve"> attached to the shares; or has the right to appoint one or more Trustees to the board of the company. 6.4 This Article may be amended by special resolution but only with the prior written consent of the Commission</w:t>
      </w:r>
      <w:r>
        <w:rPr>
          <w:rFonts w:ascii="Arial" w:hAnsi="Arial" w:cs="Arial"/>
          <w:color w:val="222222"/>
          <w:sz w:val="27"/>
          <w:szCs w:val="27"/>
          <w:shd w:val="clear" w:color="auto" w:fill="FFFFFF"/>
        </w:rPr>
        <w:t>. </w:t>
      </w:r>
    </w:p>
    <w:p w14:paraId="4C93FF97" w14:textId="77777777" w:rsidR="001B2AB7" w:rsidRDefault="005D0805">
      <w:r>
        <w:rPr>
          <w:b/>
          <w:bCs/>
          <w:sz w:val="28"/>
          <w:szCs w:val="28"/>
          <w:u w:val="single"/>
        </w:rPr>
        <w:t>Resolution C</w:t>
      </w:r>
      <w:r>
        <w:rPr>
          <w:b/>
          <w:bCs/>
          <w:sz w:val="28"/>
          <w:szCs w:val="28"/>
        </w:rPr>
        <w:t>: Dissolution</w:t>
      </w:r>
    </w:p>
    <w:p w14:paraId="4C93FF98" w14:textId="77777777" w:rsidR="001B2AB7" w:rsidRDefault="005D0805">
      <w:r>
        <w:rPr>
          <w:b/>
          <w:bCs/>
          <w:sz w:val="28"/>
          <w:szCs w:val="28"/>
        </w:rPr>
        <w:t>To replace the current dissolution clause with</w:t>
      </w:r>
      <w:r>
        <w:t>:</w:t>
      </w:r>
    </w:p>
    <w:p w14:paraId="4C93FF99" w14:textId="77777777" w:rsidR="001B2AB7" w:rsidRDefault="005D0805">
      <w:r>
        <w:rPr>
          <w:rFonts w:ascii="Arial" w:hAnsi="Arial" w:cs="Arial"/>
          <w:color w:val="222222"/>
          <w:sz w:val="24"/>
          <w:szCs w:val="24"/>
          <w:shd w:val="clear" w:color="auto" w:fill="FFFFFF"/>
        </w:rPr>
        <w:t>37. Dissolution</w:t>
      </w:r>
      <w:r>
        <w:rPr>
          <w:rFonts w:ascii="Arial" w:hAnsi="Arial" w:cs="Arial"/>
          <w:color w:val="222222"/>
          <w:sz w:val="24"/>
          <w:szCs w:val="24"/>
        </w:rPr>
        <w:br/>
      </w:r>
      <w:r>
        <w:rPr>
          <w:rFonts w:ascii="Arial" w:hAnsi="Arial" w:cs="Arial"/>
          <w:color w:val="222222"/>
          <w:sz w:val="24"/>
          <w:szCs w:val="24"/>
          <w:shd w:val="clear" w:color="auto" w:fill="FFFFFF"/>
        </w:rPr>
        <w:t xml:space="preserve">37.1 The Members of the Trust may at any time before, and in expectation of, its dissolution resolve that any net assets of the Trust after all its debts and liabilities have been paid, or provision has </w:t>
      </w:r>
      <w:r>
        <w:rPr>
          <w:rFonts w:ascii="Arial" w:hAnsi="Arial" w:cs="Arial"/>
          <w:color w:val="222222"/>
          <w:sz w:val="24"/>
          <w:szCs w:val="24"/>
          <w:shd w:val="clear" w:color="auto" w:fill="FFFFFF"/>
        </w:rPr>
        <w:t>been made for them, shall on or before the dissolution of the Trust be applied or transferred in any of the following ways:</w:t>
      </w:r>
      <w:r>
        <w:rPr>
          <w:rFonts w:ascii="Arial" w:hAnsi="Arial" w:cs="Arial"/>
          <w:color w:val="222222"/>
          <w:sz w:val="24"/>
          <w:szCs w:val="24"/>
        </w:rPr>
        <w:br/>
      </w:r>
      <w:r>
        <w:rPr>
          <w:rFonts w:ascii="Arial" w:hAnsi="Arial" w:cs="Arial"/>
          <w:color w:val="222222"/>
          <w:sz w:val="24"/>
          <w:szCs w:val="24"/>
          <w:shd w:val="clear" w:color="auto" w:fill="FFFFFF"/>
        </w:rPr>
        <w:t>(a) to the Royal Society of Wildlife Trusts (Registered Trust 207238) who shall apply any net assets in accordance with the Trust's Objects;</w:t>
      </w:r>
      <w:r>
        <w:rPr>
          <w:rFonts w:ascii="Arial" w:hAnsi="Arial" w:cs="Arial"/>
          <w:color w:val="222222"/>
          <w:sz w:val="24"/>
          <w:szCs w:val="24"/>
        </w:rPr>
        <w:br/>
      </w:r>
      <w:r>
        <w:rPr>
          <w:rFonts w:ascii="Arial" w:hAnsi="Arial" w:cs="Arial"/>
          <w:color w:val="222222"/>
          <w:sz w:val="24"/>
          <w:szCs w:val="24"/>
          <w:shd w:val="clear" w:color="auto" w:fill="FFFFFF"/>
        </w:rPr>
        <w:t>(b) directly for the Objects;</w:t>
      </w:r>
      <w:r>
        <w:rPr>
          <w:rFonts w:ascii="Arial" w:hAnsi="Arial" w:cs="Arial"/>
          <w:color w:val="222222"/>
          <w:sz w:val="24"/>
          <w:szCs w:val="24"/>
        </w:rPr>
        <w:br/>
      </w:r>
      <w:r>
        <w:rPr>
          <w:rFonts w:ascii="Arial" w:hAnsi="Arial" w:cs="Arial"/>
          <w:color w:val="222222"/>
          <w:sz w:val="24"/>
          <w:szCs w:val="24"/>
          <w:shd w:val="clear" w:color="auto" w:fill="FFFFFF"/>
        </w:rPr>
        <w:t>(c) by transfer to any Trust or charities for purposes similar to the Objects; or</w:t>
      </w:r>
      <w:r>
        <w:rPr>
          <w:rFonts w:ascii="Arial" w:hAnsi="Arial" w:cs="Arial"/>
          <w:color w:val="222222"/>
          <w:sz w:val="24"/>
          <w:szCs w:val="24"/>
        </w:rPr>
        <w:br/>
      </w:r>
      <w:r>
        <w:rPr>
          <w:rFonts w:ascii="Arial" w:hAnsi="Arial" w:cs="Arial"/>
          <w:color w:val="222222"/>
          <w:sz w:val="24"/>
          <w:szCs w:val="24"/>
          <w:shd w:val="clear" w:color="auto" w:fill="FFFFFF"/>
        </w:rPr>
        <w:t>(d) to any Trust or charities for use for particular purposes that fall within the Objects.</w:t>
      </w:r>
      <w:r>
        <w:rPr>
          <w:rFonts w:ascii="Arial" w:hAnsi="Arial" w:cs="Arial"/>
          <w:color w:val="222222"/>
          <w:sz w:val="24"/>
          <w:szCs w:val="24"/>
        </w:rPr>
        <w:br/>
      </w:r>
      <w:r>
        <w:rPr>
          <w:rFonts w:ascii="Arial" w:hAnsi="Arial" w:cs="Arial"/>
          <w:color w:val="222222"/>
          <w:sz w:val="24"/>
          <w:szCs w:val="24"/>
          <w:shd w:val="clear" w:color="auto" w:fill="FFFFFF"/>
        </w:rPr>
        <w:t xml:space="preserve">37.2 Subject to any such resolution of the </w:t>
      </w:r>
      <w:r>
        <w:rPr>
          <w:rFonts w:ascii="Arial" w:hAnsi="Arial" w:cs="Arial"/>
          <w:color w:val="222222"/>
          <w:sz w:val="24"/>
          <w:szCs w:val="24"/>
          <w:shd w:val="clear" w:color="auto" w:fill="FFFFFF"/>
        </w:rPr>
        <w:t>Members of the Trust, the Trustees of the Trust may at any time before and in expectation of its dissolution resolve that any net assets of the Trust after all its debts and liabilities have been paid, or provision made for them, shall on or before dissolution of the Trust be applied or transferred in any of the ways set out in Article 37.1.</w:t>
      </w:r>
      <w:r>
        <w:rPr>
          <w:rFonts w:ascii="Arial" w:hAnsi="Arial" w:cs="Arial"/>
          <w:color w:val="222222"/>
          <w:sz w:val="24"/>
          <w:szCs w:val="24"/>
        </w:rPr>
        <w:br/>
      </w:r>
      <w:r>
        <w:rPr>
          <w:rFonts w:ascii="Arial" w:hAnsi="Arial" w:cs="Arial"/>
          <w:color w:val="222222"/>
          <w:sz w:val="24"/>
          <w:szCs w:val="24"/>
          <w:shd w:val="clear" w:color="auto" w:fill="FFFFFF"/>
        </w:rPr>
        <w:t xml:space="preserve">37.3 In no circumstances shall the net assets of the Trust be paid to or distributed among the Members of the Trust (except to a Member that is itself a Trust) and if </w:t>
      </w:r>
      <w:r>
        <w:rPr>
          <w:rFonts w:ascii="Arial" w:hAnsi="Arial" w:cs="Arial"/>
          <w:color w:val="222222"/>
          <w:sz w:val="24"/>
          <w:szCs w:val="24"/>
          <w:shd w:val="clear" w:color="auto" w:fill="FFFFFF"/>
        </w:rPr>
        <w:t>no resolution in accordance with Article 36 is passed by the Members or the Trustees the net assets of the Trust shall be applied for charitable purposes as directed by the Court or the Commission.</w:t>
      </w:r>
      <w:r>
        <w:rPr>
          <w:rFonts w:ascii="Arial" w:hAnsi="Arial" w:cs="Arial"/>
          <w:color w:val="222222"/>
          <w:sz w:val="27"/>
          <w:szCs w:val="27"/>
        </w:rPr>
        <w:br/>
      </w:r>
      <w:r>
        <w:rPr>
          <w:rFonts w:ascii="Arial" w:hAnsi="Arial" w:cs="Arial"/>
          <w:color w:val="222222"/>
          <w:sz w:val="24"/>
          <w:szCs w:val="24"/>
          <w:shd w:val="clear" w:color="auto" w:fill="FFFFFF"/>
        </w:rPr>
        <w:t>37.4 This Article may be amended by special resolution but only with the prior written consent of the Commission</w:t>
      </w:r>
    </w:p>
    <w:p w14:paraId="4C93FF9A" w14:textId="77777777" w:rsidR="001B2AB7" w:rsidRDefault="005D0805">
      <w:r>
        <w:rPr>
          <w:b/>
          <w:bCs/>
          <w:sz w:val="28"/>
          <w:szCs w:val="28"/>
          <w:u w:val="single"/>
        </w:rPr>
        <w:t>Resolution D</w:t>
      </w:r>
      <w:r>
        <w:rPr>
          <w:b/>
          <w:bCs/>
          <w:sz w:val="28"/>
          <w:szCs w:val="28"/>
        </w:rPr>
        <w:t>: Adoption of revised Articles of Association</w:t>
      </w:r>
    </w:p>
    <w:p w14:paraId="4C93FF9B" w14:textId="77777777" w:rsidR="001B2AB7" w:rsidRDefault="005D0805">
      <w:r>
        <w:rPr>
          <w:b/>
          <w:bCs/>
          <w:sz w:val="28"/>
          <w:szCs w:val="28"/>
        </w:rPr>
        <w:t xml:space="preserve">To adopt the revised Articles of Association, including the three clauses above, as distributed. </w:t>
      </w:r>
    </w:p>
    <w:p w14:paraId="4C93FF9C" w14:textId="77777777" w:rsidR="001B2AB7" w:rsidRDefault="001B2AB7">
      <w:pPr>
        <w:rPr>
          <w:rFonts w:ascii="Arial" w:hAnsi="Arial" w:cs="Arial"/>
          <w:color w:val="222222"/>
          <w:sz w:val="27"/>
          <w:szCs w:val="27"/>
          <w:shd w:val="clear" w:color="auto" w:fill="FFFFFF"/>
        </w:rPr>
      </w:pPr>
    </w:p>
    <w:p w14:paraId="4C93FF9D" w14:textId="77777777" w:rsidR="001B2AB7" w:rsidRDefault="001B2AB7"/>
    <w:p w14:paraId="4C93FF9E" w14:textId="77777777" w:rsidR="001B2AB7" w:rsidRDefault="001B2AB7"/>
    <w:p w14:paraId="4C93FF9F" w14:textId="77777777" w:rsidR="001B2AB7" w:rsidRDefault="001B2AB7">
      <w:pPr>
        <w:rPr>
          <w:rFonts w:ascii="Arial" w:hAnsi="Arial" w:cs="Arial"/>
          <w:color w:val="222222"/>
          <w:sz w:val="24"/>
          <w:szCs w:val="24"/>
          <w:shd w:val="clear" w:color="auto" w:fill="FFFFFF"/>
        </w:rPr>
      </w:pPr>
    </w:p>
    <w:p w14:paraId="4C93FFA0" w14:textId="77777777" w:rsidR="001B2AB7" w:rsidRDefault="001B2AB7">
      <w:pPr>
        <w:rPr>
          <w:rFonts w:ascii="Arial" w:hAnsi="Arial" w:cs="Arial"/>
          <w:color w:val="222222"/>
          <w:sz w:val="24"/>
          <w:szCs w:val="24"/>
          <w:shd w:val="clear" w:color="auto" w:fill="FFFFFF"/>
        </w:rPr>
      </w:pPr>
    </w:p>
    <w:p w14:paraId="4C93FFA1" w14:textId="77777777" w:rsidR="001B2AB7" w:rsidRDefault="001B2AB7">
      <w:pPr>
        <w:rPr>
          <w:rFonts w:ascii="Arial" w:hAnsi="Arial" w:cs="Arial"/>
          <w:color w:val="222222"/>
          <w:sz w:val="24"/>
          <w:szCs w:val="24"/>
          <w:shd w:val="clear" w:color="auto" w:fill="FFFFFF"/>
        </w:rPr>
      </w:pPr>
    </w:p>
    <w:p w14:paraId="4C93FFA2" w14:textId="77777777" w:rsidR="001B2AB7" w:rsidRDefault="001B2AB7"/>
    <w:p w14:paraId="4C93FFA3" w14:textId="77777777" w:rsidR="001B2AB7" w:rsidRDefault="001B2AB7"/>
    <w:p w14:paraId="4C93FFA4" w14:textId="77777777" w:rsidR="001B2AB7" w:rsidRDefault="001B2AB7"/>
    <w:p w14:paraId="4C93FFA5" w14:textId="77777777" w:rsidR="001B2AB7" w:rsidRDefault="001B2AB7"/>
    <w:sectPr w:rsidR="001B2AB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7F97" w14:textId="77777777" w:rsidR="005D0805" w:rsidRDefault="005D0805">
      <w:pPr>
        <w:spacing w:after="0" w:line="240" w:lineRule="auto"/>
      </w:pPr>
      <w:r>
        <w:separator/>
      </w:r>
    </w:p>
  </w:endnote>
  <w:endnote w:type="continuationSeparator" w:id="0">
    <w:p w14:paraId="0F118E95" w14:textId="77777777" w:rsidR="005D0805" w:rsidRDefault="005D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6D247" w14:textId="77777777" w:rsidR="005D0805" w:rsidRDefault="005D0805">
      <w:pPr>
        <w:spacing w:after="0" w:line="240" w:lineRule="auto"/>
      </w:pPr>
      <w:r>
        <w:rPr>
          <w:color w:val="000000"/>
        </w:rPr>
        <w:separator/>
      </w:r>
    </w:p>
  </w:footnote>
  <w:footnote w:type="continuationSeparator" w:id="0">
    <w:p w14:paraId="452A064C" w14:textId="77777777" w:rsidR="005D0805" w:rsidRDefault="005D08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B2AB7"/>
    <w:rsid w:val="001B2AB7"/>
    <w:rsid w:val="004874DE"/>
    <w:rsid w:val="005D0805"/>
    <w:rsid w:val="00AE1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FF8C"/>
  <w15:docId w15:val="{1255567B-DAE5-43AC-8386-98930D30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 Hayward</dc:creator>
  <dc:description/>
  <cp:lastModifiedBy>Catrin Sparrow</cp:lastModifiedBy>
  <cp:revision>2</cp:revision>
  <dcterms:created xsi:type="dcterms:W3CDTF">2026-09-17T09:55:00Z</dcterms:created>
  <dcterms:modified xsi:type="dcterms:W3CDTF">2026-09-17T09:55:00Z</dcterms:modified>
</cp:coreProperties>
</file>